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C206D5" w14:textId="77777777" w:rsidR="00665E8B" w:rsidRDefault="00E644C1">
      <w:pPr>
        <w:jc w:val="center"/>
        <w:rPr>
          <w:b/>
          <w:sz w:val="24"/>
          <w:szCs w:val="24"/>
        </w:rPr>
      </w:pPr>
      <w:bookmarkStart w:id="0" w:name="_Hlk71033183"/>
      <w:bookmarkEnd w:id="0"/>
      <w:r>
        <w:rPr>
          <w:b/>
          <w:sz w:val="24"/>
          <w:szCs w:val="24"/>
        </w:rPr>
        <w:t>Příloha č. 1 – Technická specifikace</w:t>
      </w:r>
    </w:p>
    <w:p w14:paraId="548D07AC" w14:textId="77777777" w:rsidR="00665E8B" w:rsidRDefault="00E644C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ČÁST 4 VEŘEJNÉ ZAKÁZKY – Virtuální svařovací pracoviště</w:t>
      </w:r>
    </w:p>
    <w:p w14:paraId="416C39B6" w14:textId="77777777" w:rsidR="00665E8B" w:rsidRDefault="00E644C1">
      <w:pPr>
        <w:spacing w:before="120" w:after="240"/>
        <w:jc w:val="both"/>
        <w:rPr>
          <w:rFonts w:ascii="Calibri" w:hAnsi="Calibri" w:cs="Arial"/>
        </w:rPr>
      </w:pPr>
      <w:r>
        <w:rPr>
          <w:rFonts w:cs="Arial"/>
        </w:rPr>
        <w:t>Popis: Virtuální svařovací pracoviště – programové vybavení včetně periferií pro VR</w:t>
      </w:r>
    </w:p>
    <w:p w14:paraId="6FEEC7FE" w14:textId="127B9169" w:rsidR="00665E8B" w:rsidRDefault="00E644C1">
      <w:pPr>
        <w:spacing w:before="120" w:after="240"/>
        <w:ind w:firstLine="708"/>
        <w:jc w:val="both"/>
        <w:rPr>
          <w:rFonts w:ascii="Calibri" w:hAnsi="Calibri" w:cs="Arial"/>
        </w:rPr>
      </w:pPr>
      <w:r>
        <w:rPr>
          <w:rFonts w:cs="Arial"/>
        </w:rPr>
        <w:t xml:space="preserve">Poptávané svařovací </w:t>
      </w:r>
      <w:r w:rsidRPr="00205607">
        <w:rPr>
          <w:rFonts w:cs="Arial"/>
        </w:rPr>
        <w:t xml:space="preserve">pracoviště </w:t>
      </w:r>
      <w:r w:rsidR="00290785">
        <w:rPr>
          <w:rFonts w:cs="Arial"/>
        </w:rPr>
        <w:t xml:space="preserve">virtuální reality </w:t>
      </w:r>
      <w:r w:rsidRPr="00205607">
        <w:rPr>
          <w:rFonts w:cs="Arial"/>
        </w:rPr>
        <w:t xml:space="preserve">je zejména určené pro studenty </w:t>
      </w:r>
      <w:r w:rsidR="00205607" w:rsidRPr="00205607">
        <w:rPr>
          <w:rFonts w:cs="Arial"/>
        </w:rPr>
        <w:t xml:space="preserve">a </w:t>
      </w:r>
      <w:r w:rsidRPr="00205607">
        <w:rPr>
          <w:rFonts w:cs="Arial"/>
        </w:rPr>
        <w:t>další zájemce o</w:t>
      </w:r>
      <w:r w:rsidR="00290785">
        <w:rPr>
          <w:rFonts w:cs="Arial"/>
        </w:rPr>
        <w:t> </w:t>
      </w:r>
      <w:r>
        <w:rPr>
          <w:rFonts w:cs="Arial"/>
        </w:rPr>
        <w:t>výuku a ukázky svařovaní, kteří se svařováním nemají zkušenosti, popř. ani nemohou</w:t>
      </w:r>
      <w:r w:rsidR="00290785">
        <w:rPr>
          <w:rFonts w:cs="Arial"/>
        </w:rPr>
        <w:t>,</w:t>
      </w:r>
      <w:r>
        <w:rPr>
          <w:rFonts w:cs="Arial"/>
        </w:rPr>
        <w:t xml:space="preserve"> z důvodu nízkého věku nebo zdravotních omezení</w:t>
      </w:r>
      <w:r w:rsidR="00290785">
        <w:rPr>
          <w:rFonts w:cs="Arial"/>
        </w:rPr>
        <w:t>,</w:t>
      </w:r>
      <w:r>
        <w:rPr>
          <w:rFonts w:cs="Arial"/>
        </w:rPr>
        <w:t xml:space="preserve"> svařovat. Poptávané virtuální svařovací pracoviště by mělo v maximální možné míře simulovat svařování </w:t>
      </w:r>
      <w:r w:rsidR="00367684">
        <w:rPr>
          <w:rFonts w:cs="Arial"/>
        </w:rPr>
        <w:t xml:space="preserve">v </w:t>
      </w:r>
      <w:r>
        <w:rPr>
          <w:rFonts w:cs="Arial"/>
        </w:rPr>
        <w:t xml:space="preserve">externích podmínkách </w:t>
      </w:r>
      <w:r w:rsidR="00290785">
        <w:rPr>
          <w:rFonts w:cs="Arial"/>
        </w:rPr>
        <w:t xml:space="preserve">i </w:t>
      </w:r>
      <w:r>
        <w:rPr>
          <w:rFonts w:cs="Arial"/>
        </w:rPr>
        <w:t>interiér</w:t>
      </w:r>
      <w:r w:rsidR="00290785">
        <w:rPr>
          <w:rFonts w:cs="Arial"/>
        </w:rPr>
        <w:t>u</w:t>
      </w:r>
      <w:r>
        <w:rPr>
          <w:rFonts w:cs="Arial"/>
        </w:rPr>
        <w:t>, aby co nejvíce přiblížilo podmínky svařovaní na reálném provozu, ale rovněž</w:t>
      </w:r>
      <w:r w:rsidR="00367684">
        <w:rPr>
          <w:rFonts w:cs="Arial"/>
        </w:rPr>
        <w:t>,</w:t>
      </w:r>
      <w:r>
        <w:rPr>
          <w:rFonts w:cs="Arial"/>
        </w:rPr>
        <w:t xml:space="preserve"> aby bylo co nejzajímavější pro žáky a studenty, což by podpořilo jejich výběr dalšího studia směrem k technickým oborům. Virtuální svařovací pracoviště musí být plně mobilní, tedy musí umožnit se zařízením navštěvovat školy a umožnit jejich krátkodobé zapůjčení školám. Nabízené virtuální svařovací pracoviště musí umožnit „svařovat“ ručními technologiemi MIG/MAG</w:t>
      </w:r>
      <w:r w:rsidR="00290785">
        <w:rPr>
          <w:rFonts w:cs="Arial"/>
        </w:rPr>
        <w:t xml:space="preserve">, </w:t>
      </w:r>
      <w:r>
        <w:rPr>
          <w:rFonts w:cs="Arial"/>
        </w:rPr>
        <w:t>MMA</w:t>
      </w:r>
      <w:r w:rsidR="00290785">
        <w:rPr>
          <w:rFonts w:cs="Arial"/>
        </w:rPr>
        <w:t xml:space="preserve"> a rovněž na svařovacím robotu</w:t>
      </w:r>
      <w:r>
        <w:rPr>
          <w:rFonts w:cs="Arial"/>
        </w:rPr>
        <w:t xml:space="preserve">. Virtuální svařovací pracoviště musí umožnovat výběr metody svařování, a pro každou z metod musí být ergonomický </w:t>
      </w:r>
      <w:r w:rsidR="00290785">
        <w:rPr>
          <w:rFonts w:cs="Arial"/>
        </w:rPr>
        <w:t>fyzický h</w:t>
      </w:r>
      <w:r>
        <w:rPr>
          <w:rFonts w:cs="Arial"/>
        </w:rPr>
        <w:t>ořák, který co nejpřesněji vyvozuje dojem reálného svařovacího hořáku.</w:t>
      </w:r>
    </w:p>
    <w:p w14:paraId="367B430D" w14:textId="1946E62A" w:rsidR="00665E8B" w:rsidRPr="00290785" w:rsidRDefault="00E644C1">
      <w:pPr>
        <w:spacing w:before="120" w:after="240"/>
        <w:ind w:firstLine="708"/>
        <w:jc w:val="both"/>
        <w:rPr>
          <w:rFonts w:cs="Arial"/>
        </w:rPr>
      </w:pPr>
      <w:r>
        <w:rPr>
          <w:rFonts w:cs="Arial"/>
        </w:rPr>
        <w:t>Virtuální svařovací pracoviště musí rovněž umožnit výběr svařovaných materiálů, co do jakosti materiálu, jeho tloušťky, typu svaru a polohy svařování. Pro takto definovaný svarový spoj musí být umožněno nastavovat svařovací parametry a jejich úprava. Proces svařování musí být realisticky, tedy musí být zpětná odezva systému na vzdálenost elektrody od svaru, popř. reagovat změnou napětí na</w:t>
      </w:r>
      <w:r w:rsidR="00290785">
        <w:rPr>
          <w:rFonts w:cs="Arial"/>
        </w:rPr>
        <w:t> </w:t>
      </w:r>
      <w:r>
        <w:rPr>
          <w:rFonts w:cs="Arial"/>
        </w:rPr>
        <w:t>oblouku, zhasnutím oblouku nebo utopením elektrody. Virtuální pracoviště musí reagovat na</w:t>
      </w:r>
      <w:r w:rsidR="00290785">
        <w:rPr>
          <w:rFonts w:cs="Arial"/>
        </w:rPr>
        <w:t> </w:t>
      </w:r>
      <w:r>
        <w:rPr>
          <w:rFonts w:cs="Arial"/>
        </w:rPr>
        <w:t>měnicí se svařovací parametry, rychlost vedení hořáku, výšku a úhel hořáku a reagovat na to změnou jakosti svaru. Veškeré svařovací parametry musí být zaznamenávány a následně umožnit kontrolu svaru</w:t>
      </w:r>
      <w:r w:rsidRPr="006C0773">
        <w:rPr>
          <w:rFonts w:cs="Arial"/>
        </w:rPr>
        <w:t>, rovněž pohledovou.</w:t>
      </w:r>
    </w:p>
    <w:p w14:paraId="6396792D" w14:textId="5923625F" w:rsidR="00665E8B" w:rsidRDefault="00E644C1">
      <w:pPr>
        <w:spacing w:before="120" w:after="240"/>
        <w:ind w:firstLine="708"/>
        <w:jc w:val="both"/>
        <w:rPr>
          <w:rFonts w:ascii="Calibri" w:hAnsi="Calibri" w:cs="Arial"/>
        </w:rPr>
      </w:pPr>
      <w:r>
        <w:rPr>
          <w:rFonts w:cs="Arial"/>
        </w:rPr>
        <w:t>Nabízen</w:t>
      </w:r>
      <w:r w:rsidR="006C0773">
        <w:rPr>
          <w:rFonts w:cs="Arial"/>
        </w:rPr>
        <w:t>é</w:t>
      </w:r>
      <w:r>
        <w:rPr>
          <w:rFonts w:cs="Arial"/>
        </w:rPr>
        <w:t xml:space="preserve"> virtuální svařovací pracoviště musí být kompletní, jak po stránce softwaru i hardwaru</w:t>
      </w:r>
      <w:r w:rsidR="00C12EAA">
        <w:rPr>
          <w:rFonts w:cs="Arial"/>
        </w:rPr>
        <w:t xml:space="preserve">. </w:t>
      </w:r>
      <w:r>
        <w:rPr>
          <w:rFonts w:cs="Arial"/>
        </w:rPr>
        <w:t>Součásti dodávky musí být všechny komponenty potřebné pro ukázky svařování metodami MIG/MAG</w:t>
      </w:r>
      <w:r w:rsidR="009B01BA">
        <w:rPr>
          <w:rFonts w:cs="Arial"/>
        </w:rPr>
        <w:t>,</w:t>
      </w:r>
      <w:r>
        <w:rPr>
          <w:rFonts w:cs="Arial"/>
        </w:rPr>
        <w:t xml:space="preserve"> MMA,</w:t>
      </w:r>
      <w:r w:rsidR="009B01BA">
        <w:rPr>
          <w:rFonts w:cs="Arial"/>
        </w:rPr>
        <w:t xml:space="preserve"> robotické svařování, obouruční svařování (TIG, plamen, popř jiná obouruční technologie)</w:t>
      </w:r>
      <w:r>
        <w:rPr>
          <w:rFonts w:cs="Arial"/>
        </w:rPr>
        <w:t xml:space="preserve"> jako jsou </w:t>
      </w:r>
      <w:r w:rsidR="00C36FBF">
        <w:rPr>
          <w:rFonts w:cs="Arial"/>
        </w:rPr>
        <w:t>realistické hořáky</w:t>
      </w:r>
      <w:r>
        <w:rPr>
          <w:rFonts w:cs="Arial"/>
        </w:rPr>
        <w:t xml:space="preserve">, </w:t>
      </w:r>
      <w:r w:rsidRPr="000D5FEF">
        <w:rPr>
          <w:rFonts w:cs="Arial"/>
        </w:rPr>
        <w:t>potřebn</w:t>
      </w:r>
      <w:r w:rsidR="009B01BA">
        <w:rPr>
          <w:rFonts w:cs="Arial"/>
        </w:rPr>
        <w:t>é</w:t>
      </w:r>
      <w:r w:rsidRPr="000D5FEF">
        <w:rPr>
          <w:rFonts w:cs="Arial"/>
        </w:rPr>
        <w:t xml:space="preserve"> přenosn</w:t>
      </w:r>
      <w:r w:rsidR="009B01BA">
        <w:rPr>
          <w:rFonts w:cs="Arial"/>
        </w:rPr>
        <w:t>é</w:t>
      </w:r>
      <w:r w:rsidRPr="000D5FEF">
        <w:rPr>
          <w:rFonts w:cs="Arial"/>
        </w:rPr>
        <w:t xml:space="preserve"> PC stanice, brýle</w:t>
      </w:r>
      <w:r>
        <w:rPr>
          <w:rFonts w:cs="Arial"/>
        </w:rPr>
        <w:t xml:space="preserve"> pro virtuální pracoviště,</w:t>
      </w:r>
      <w:r w:rsidR="009B01BA">
        <w:rPr>
          <w:rFonts w:cs="Arial"/>
        </w:rPr>
        <w:t xml:space="preserve"> trackery,</w:t>
      </w:r>
      <w:r>
        <w:rPr>
          <w:rFonts w:cs="Arial"/>
        </w:rPr>
        <w:t xml:space="preserve"> kabeláž, licence potřebných SW, a další, viz </w:t>
      </w:r>
      <w:r w:rsidR="00A95571">
        <w:rPr>
          <w:rFonts w:cs="Arial"/>
        </w:rPr>
        <w:t xml:space="preserve">minimální </w:t>
      </w:r>
      <w:r>
        <w:rPr>
          <w:rFonts w:cs="Arial"/>
        </w:rPr>
        <w:t>tec</w:t>
      </w:r>
      <w:r w:rsidR="00A95571">
        <w:rPr>
          <w:rFonts w:cs="Arial"/>
        </w:rPr>
        <w:t>hnick</w:t>
      </w:r>
      <w:r w:rsidR="001516F8">
        <w:rPr>
          <w:rFonts w:cs="Arial"/>
        </w:rPr>
        <w:t>á</w:t>
      </w:r>
      <w:r w:rsidR="00A95571">
        <w:rPr>
          <w:rFonts w:cs="Arial"/>
        </w:rPr>
        <w:t xml:space="preserve"> </w:t>
      </w:r>
      <w:r w:rsidR="001516F8">
        <w:rPr>
          <w:rFonts w:cs="Arial"/>
        </w:rPr>
        <w:t>specifikace</w:t>
      </w:r>
      <w:r w:rsidR="00A95571">
        <w:rPr>
          <w:rFonts w:cs="Arial"/>
        </w:rPr>
        <w:t xml:space="preserve"> pro Virtuální svařovací pracoviště</w:t>
      </w:r>
      <w:r w:rsidR="001516F8">
        <w:rPr>
          <w:rFonts w:cs="Arial"/>
        </w:rPr>
        <w:t>,</w:t>
      </w:r>
      <w:r>
        <w:rPr>
          <w:rFonts w:cs="Arial"/>
        </w:rPr>
        <w:t xml:space="preserve"> níže.</w:t>
      </w:r>
      <w:r w:rsidR="006C0773">
        <w:rPr>
          <w:rFonts w:cs="Arial"/>
        </w:rPr>
        <w:t xml:space="preserve"> Všechny nabízené programy a licence musí být na</w:t>
      </w:r>
      <w:r w:rsidR="001516F8">
        <w:rPr>
          <w:rFonts w:cs="Arial"/>
        </w:rPr>
        <w:t> </w:t>
      </w:r>
      <w:r w:rsidR="006C0773">
        <w:rPr>
          <w:rFonts w:cs="Arial"/>
        </w:rPr>
        <w:t>neomezenou dobu.</w:t>
      </w:r>
    </w:p>
    <w:tbl>
      <w:tblPr>
        <w:tblW w:w="9057" w:type="dxa"/>
        <w:tblBorders>
          <w:top w:val="single" w:sz="12" w:space="0" w:color="000000"/>
          <w:left w:val="single" w:sz="12" w:space="0" w:color="000000"/>
          <w:bottom w:val="single" w:sz="4" w:space="0" w:color="000000"/>
          <w:right w:val="single" w:sz="12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57"/>
      </w:tblGrid>
      <w:tr w:rsidR="001516F8" w14:paraId="6010E0D1" w14:textId="77777777" w:rsidTr="001516F8">
        <w:trPr>
          <w:trHeight w:val="285"/>
        </w:trPr>
        <w:tc>
          <w:tcPr>
            <w:tcW w:w="9057" w:type="dxa"/>
            <w:shd w:val="clear" w:color="auto" w:fill="DBDBDB" w:themeFill="accent3" w:themeFillTint="66"/>
            <w:vAlign w:val="center"/>
          </w:tcPr>
          <w:p w14:paraId="1EB39CC6" w14:textId="538CF33F" w:rsidR="001516F8" w:rsidRDefault="001516F8">
            <w:pPr>
              <w:widowControl w:val="0"/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Minimální technická specifikace Virtuálního svařovacího pracoviště</w:t>
            </w:r>
          </w:p>
        </w:tc>
      </w:tr>
      <w:tr w:rsidR="001516F8" w14:paraId="0D41B0E1" w14:textId="77777777" w:rsidTr="001516F8">
        <w:trPr>
          <w:trHeight w:val="285"/>
        </w:trPr>
        <w:tc>
          <w:tcPr>
            <w:tcW w:w="9057" w:type="dxa"/>
            <w:vAlign w:val="center"/>
          </w:tcPr>
          <w:p w14:paraId="51CF5D52" w14:textId="77777777" w:rsidR="001516F8" w:rsidRDefault="001516F8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Modulární pracoviště virtuální reality umožňující svařovat ručními metodami MIG/MAG a MMA.</w:t>
            </w:r>
          </w:p>
          <w:p w14:paraId="028DA7CB" w14:textId="7DECCF24" w:rsidR="001516F8" w:rsidRPr="00AF78BD" w:rsidRDefault="001516F8" w:rsidP="00AF78BD">
            <w:pPr>
              <w:pStyle w:val="Odstavecseseznamem"/>
              <w:widowControl w:val="0"/>
              <w:numPr>
                <w:ilvl w:val="0"/>
                <w:numId w:val="1"/>
              </w:num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Jedná se o 2 nejčastější způsoby svařování elektrickým obloukem tavicí se </w:t>
            </w:r>
            <w:r w:rsidR="00C12EAA">
              <w:rPr>
                <w:sz w:val="20"/>
                <w:szCs w:val="20"/>
              </w:rPr>
              <w:t>elektrodou,</w:t>
            </w:r>
            <w:r>
              <w:rPr>
                <w:sz w:val="20"/>
                <w:szCs w:val="20"/>
              </w:rPr>
              <w:t xml:space="preserve"> a to obalenou elektrodou MMA a v ochranné atmosféře aktivního nebo inertního plynu MAG/MIG.</w:t>
            </w:r>
          </w:p>
        </w:tc>
      </w:tr>
      <w:tr w:rsidR="001516F8" w14:paraId="3480BF2C" w14:textId="77777777" w:rsidTr="001516F8">
        <w:trPr>
          <w:trHeight w:val="326"/>
        </w:trPr>
        <w:tc>
          <w:tcPr>
            <w:tcW w:w="9057" w:type="dxa"/>
            <w:vAlign w:val="center"/>
          </w:tcPr>
          <w:p w14:paraId="519C12DB" w14:textId="77777777" w:rsidR="001516F8" w:rsidRDefault="001516F8">
            <w:pPr>
              <w:widowControl w:val="0"/>
              <w:snapToGrid w:val="0"/>
              <w:rPr>
                <w:sz w:val="20"/>
                <w:szCs w:val="20"/>
              </w:rPr>
            </w:pPr>
            <w:r w:rsidRPr="00205607">
              <w:rPr>
                <w:sz w:val="20"/>
                <w:szCs w:val="20"/>
              </w:rPr>
              <w:t>Modul robotického MIG/MAG svařování.</w:t>
            </w:r>
          </w:p>
          <w:p w14:paraId="7EDDD666" w14:textId="2ED4EA78" w:rsidR="001516F8" w:rsidRPr="00AF78BD" w:rsidRDefault="001516F8" w:rsidP="00AF78BD">
            <w:pPr>
              <w:pStyle w:val="Odstavecseseznamem"/>
              <w:widowControl w:val="0"/>
              <w:numPr>
                <w:ilvl w:val="0"/>
                <w:numId w:val="1"/>
              </w:num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Nástavba pro využití a simulaci svařování na robotickém pracovišti pomocí virtuální reality.</w:t>
            </w:r>
          </w:p>
        </w:tc>
      </w:tr>
      <w:tr w:rsidR="001516F8" w14:paraId="59CCAA8C" w14:textId="77777777" w:rsidTr="001516F8">
        <w:trPr>
          <w:trHeight w:val="326"/>
        </w:trPr>
        <w:tc>
          <w:tcPr>
            <w:tcW w:w="9057" w:type="dxa"/>
            <w:vAlign w:val="center"/>
          </w:tcPr>
          <w:p w14:paraId="41EA71C4" w14:textId="7B7B6953" w:rsidR="001516F8" w:rsidRDefault="001516F8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Modul obouručního svařování (může být elektrickým obloukem, nebo plamenem, nebo jiná ob</w:t>
            </w:r>
            <w:r w:rsidR="004C43B0">
              <w:rPr>
                <w:sz w:val="20"/>
                <w:szCs w:val="20"/>
              </w:rPr>
              <w:t>do</w:t>
            </w:r>
            <w:r>
              <w:rPr>
                <w:sz w:val="20"/>
                <w:szCs w:val="20"/>
              </w:rPr>
              <w:t>bn</w:t>
            </w:r>
            <w:r w:rsidR="004C43B0">
              <w:rPr>
                <w:sz w:val="20"/>
                <w:szCs w:val="20"/>
              </w:rPr>
              <w:t>á</w:t>
            </w:r>
            <w:r>
              <w:rPr>
                <w:sz w:val="20"/>
                <w:szCs w:val="20"/>
              </w:rPr>
              <w:t xml:space="preserve"> technologie obouručního svařovaní s ručním přidáváním přídavného materiálu).</w:t>
            </w:r>
          </w:p>
          <w:p w14:paraId="0B1828CF" w14:textId="7AAFCB53" w:rsidR="001516F8" w:rsidRPr="00AF78BD" w:rsidRDefault="001516F8" w:rsidP="00AF78BD">
            <w:pPr>
              <w:pStyle w:val="Odstavecseseznamem"/>
              <w:widowControl w:val="0"/>
              <w:numPr>
                <w:ilvl w:val="0"/>
                <w:numId w:val="1"/>
              </w:num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Složitější způsob svařování, kdy je potřeba zapojit obě ruce a koordinovat více pohybu. V jedné ruce je hořák s elektrickým obloukem, popř. plamenem, a v druhé ruce je přidáván přídavný materiál ve formě drátu do svarové lázně.</w:t>
            </w:r>
          </w:p>
        </w:tc>
      </w:tr>
      <w:tr w:rsidR="001516F8" w14:paraId="40833236" w14:textId="77777777" w:rsidTr="001516F8">
        <w:trPr>
          <w:trHeight w:val="285"/>
        </w:trPr>
        <w:tc>
          <w:tcPr>
            <w:tcW w:w="9057" w:type="dxa"/>
            <w:vAlign w:val="center"/>
          </w:tcPr>
          <w:p w14:paraId="2C38AEF9" w14:textId="00D3A6AC" w:rsidR="001516F8" w:rsidRDefault="001516F8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Možnost virtuálního svařování interiéru i exteriéru</w:t>
            </w:r>
            <w:r w:rsidR="00C12EAA">
              <w:rPr>
                <w:sz w:val="20"/>
                <w:szCs w:val="20"/>
              </w:rPr>
              <w:t>.</w:t>
            </w:r>
          </w:p>
          <w:p w14:paraId="4A32D041" w14:textId="145D4027" w:rsidR="001516F8" w:rsidRPr="00AF78BD" w:rsidRDefault="001516F8" w:rsidP="00AF78BD">
            <w:pPr>
              <w:pStyle w:val="Odstavecseseznamem"/>
              <w:widowControl w:val="0"/>
              <w:numPr>
                <w:ilvl w:val="0"/>
                <w:numId w:val="1"/>
              </w:num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Výuka svařování v různých prostředích, a jiných světelných podmínkách</w:t>
            </w:r>
          </w:p>
        </w:tc>
      </w:tr>
      <w:tr w:rsidR="001516F8" w14:paraId="5CC1FF0D" w14:textId="77777777" w:rsidTr="001516F8">
        <w:trPr>
          <w:trHeight w:val="285"/>
        </w:trPr>
        <w:tc>
          <w:tcPr>
            <w:tcW w:w="9057" w:type="dxa"/>
            <w:vAlign w:val="center"/>
          </w:tcPr>
          <w:p w14:paraId="4620D471" w14:textId="77777777" w:rsidR="001516F8" w:rsidRDefault="001516F8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Realistické svařovací hořáky pro MIG/MAG, MMA, robotické svařování, hořák pro obouručním svařování s přídavným materiálem.</w:t>
            </w:r>
          </w:p>
          <w:p w14:paraId="042A1F5B" w14:textId="16C16A84" w:rsidR="001516F8" w:rsidRPr="00AF78BD" w:rsidRDefault="00733052" w:rsidP="00AF78BD">
            <w:pPr>
              <w:pStyle w:val="Odstavecseseznamem"/>
              <w:widowControl w:val="0"/>
              <w:numPr>
                <w:ilvl w:val="0"/>
                <w:numId w:val="1"/>
              </w:num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 w:rsidR="001516F8">
              <w:rPr>
                <w:sz w:val="20"/>
                <w:szCs w:val="20"/>
              </w:rPr>
              <w:t>var hořák</w:t>
            </w:r>
            <w:r w:rsidR="00EA013E">
              <w:rPr>
                <w:sz w:val="20"/>
                <w:szCs w:val="20"/>
              </w:rPr>
              <w:t>ů</w:t>
            </w:r>
            <w:r w:rsidR="001516F8">
              <w:rPr>
                <w:sz w:val="20"/>
                <w:szCs w:val="20"/>
              </w:rPr>
              <w:t xml:space="preserve"> co nejvíce přiblížit hořákům použitých </w:t>
            </w:r>
            <w:r w:rsidR="00C12EAA">
              <w:rPr>
                <w:sz w:val="20"/>
                <w:szCs w:val="20"/>
              </w:rPr>
              <w:t xml:space="preserve">při </w:t>
            </w:r>
            <w:r w:rsidR="001516F8">
              <w:rPr>
                <w:sz w:val="20"/>
                <w:szCs w:val="20"/>
              </w:rPr>
              <w:t>reálném svařování.</w:t>
            </w:r>
          </w:p>
        </w:tc>
      </w:tr>
      <w:tr w:rsidR="001516F8" w14:paraId="37CCE375" w14:textId="77777777" w:rsidTr="001516F8">
        <w:trPr>
          <w:trHeight w:val="285"/>
        </w:trPr>
        <w:tc>
          <w:tcPr>
            <w:tcW w:w="9057" w:type="dxa"/>
            <w:vAlign w:val="center"/>
          </w:tcPr>
          <w:p w14:paraId="67849297" w14:textId="77777777" w:rsidR="001516F8" w:rsidRDefault="001516F8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Polohy svařování PA, PB, PC, PD, PE, PF, PG.</w:t>
            </w:r>
          </w:p>
          <w:p w14:paraId="1962776F" w14:textId="034E747E" w:rsidR="001516F8" w:rsidRPr="00AF78BD" w:rsidRDefault="001516F8" w:rsidP="00AF78BD">
            <w:pPr>
              <w:pStyle w:val="Odstavecseseznamem"/>
              <w:widowControl w:val="0"/>
              <w:numPr>
                <w:ilvl w:val="0"/>
                <w:numId w:val="1"/>
              </w:num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Základní polohy svařování.</w:t>
            </w:r>
          </w:p>
        </w:tc>
      </w:tr>
      <w:tr w:rsidR="001516F8" w14:paraId="19C94247" w14:textId="77777777" w:rsidTr="001516F8">
        <w:trPr>
          <w:trHeight w:val="285"/>
        </w:trPr>
        <w:tc>
          <w:tcPr>
            <w:tcW w:w="9057" w:type="dxa"/>
            <w:vAlign w:val="center"/>
          </w:tcPr>
          <w:p w14:paraId="34AE6C27" w14:textId="77777777" w:rsidR="001516F8" w:rsidRDefault="001516F8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Možnost výběru typu svaru a materiálu včetně nastavení svařovacích parametrů (tupé, koutové, jedno i vícevrstvé, trubka, popř. další) a to včetně výukových přípravků pro tyto svary.</w:t>
            </w:r>
          </w:p>
          <w:p w14:paraId="4A3ECEDA" w14:textId="0C7A0F20" w:rsidR="001516F8" w:rsidRPr="00AF78BD" w:rsidRDefault="001516F8" w:rsidP="00AF78BD">
            <w:pPr>
              <w:pStyle w:val="Odstavecseseznamem"/>
              <w:widowControl w:val="0"/>
              <w:numPr>
                <w:ilvl w:val="0"/>
                <w:numId w:val="1"/>
              </w:num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Před svařováním si svářeč na simulátoru vybere, co a čím chce svařovat, aby bylo možno vyzkoušet více druhů svarů a ukázat si rozdíly v postupech při svařování, nastavení různých parametrů a odlišných typů svarů.</w:t>
            </w:r>
          </w:p>
        </w:tc>
      </w:tr>
      <w:tr w:rsidR="001516F8" w14:paraId="3B0B3493" w14:textId="77777777" w:rsidTr="001516F8">
        <w:trPr>
          <w:trHeight w:val="285"/>
        </w:trPr>
        <w:tc>
          <w:tcPr>
            <w:tcW w:w="9057" w:type="dxa"/>
            <w:vAlign w:val="center"/>
          </w:tcPr>
          <w:p w14:paraId="43C4B8D2" w14:textId="77777777" w:rsidR="001516F8" w:rsidRDefault="001516F8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Záznam skutečných svařovacích parametrů včetně vedení hořáku a vyhodnocení provedeného svaru rovněž pohledové stránky.</w:t>
            </w:r>
          </w:p>
          <w:p w14:paraId="59005DEE" w14:textId="52DF1F0E" w:rsidR="001516F8" w:rsidRPr="00AF78BD" w:rsidRDefault="00C12EAA" w:rsidP="00AF78BD">
            <w:pPr>
              <w:pStyle w:val="Odstavecseseznamem"/>
              <w:widowControl w:val="0"/>
              <w:numPr>
                <w:ilvl w:val="0"/>
                <w:numId w:val="1"/>
              </w:num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Při reálném svařování, a vyžadujeme i při simulovaném svařování, se s</w:t>
            </w:r>
            <w:r w:rsidR="001516F8">
              <w:rPr>
                <w:sz w:val="20"/>
                <w:szCs w:val="20"/>
              </w:rPr>
              <w:t>vařovací parametry nastavené před svařováním plynule mění, jak svářeč pracuje, a jak se hořák pohybuje, jak se vzdaluje od svaru. Tyto parametry se budou zaznamenávat a po svařování bude průběh svařování a vedení hořáku vyhodnocen spolu s vlivem na jakost a pohledové vlastnosti svaru.</w:t>
            </w:r>
          </w:p>
        </w:tc>
      </w:tr>
      <w:tr w:rsidR="001516F8" w14:paraId="5C75FB68" w14:textId="77777777" w:rsidTr="001516F8">
        <w:trPr>
          <w:trHeight w:val="285"/>
        </w:trPr>
        <w:tc>
          <w:tcPr>
            <w:tcW w:w="9057" w:type="dxa"/>
            <w:vAlign w:val="center"/>
          </w:tcPr>
          <w:p w14:paraId="6E2B4808" w14:textId="77777777" w:rsidR="001516F8" w:rsidRDefault="001516F8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Nápověda pro správné vedení hořáku při virtuálním svařování.</w:t>
            </w:r>
          </w:p>
          <w:p w14:paraId="44817805" w14:textId="61FF4B23" w:rsidR="001516F8" w:rsidRPr="00694FD1" w:rsidRDefault="001516F8" w:rsidP="00694FD1">
            <w:pPr>
              <w:pStyle w:val="Odstavecseseznamem"/>
              <w:widowControl w:val="0"/>
              <w:numPr>
                <w:ilvl w:val="0"/>
                <w:numId w:val="1"/>
              </w:num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Informac</w:t>
            </w:r>
            <w:r w:rsidR="00BD0E9B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 xml:space="preserve"> vysíla</w:t>
            </w:r>
            <w:r w:rsidR="00733052">
              <w:rPr>
                <w:sz w:val="20"/>
                <w:szCs w:val="20"/>
              </w:rPr>
              <w:t>né</w:t>
            </w:r>
            <w:r>
              <w:rPr>
                <w:sz w:val="20"/>
                <w:szCs w:val="20"/>
              </w:rPr>
              <w:t xml:space="preserve"> do brýlí virtuální reality jako jsou šipky, barevné značení nebo jiné řešení nápovědy v průběhu svařování, </w:t>
            </w:r>
            <w:r w:rsidR="00BD0E9B">
              <w:rPr>
                <w:sz w:val="20"/>
                <w:szCs w:val="20"/>
              </w:rPr>
              <w:t xml:space="preserve">budou </w:t>
            </w:r>
            <w:r>
              <w:rPr>
                <w:sz w:val="20"/>
                <w:szCs w:val="20"/>
              </w:rPr>
              <w:t xml:space="preserve">pomáhat studentovi jakým směrem, jakým </w:t>
            </w:r>
            <w:r w:rsidR="00BD0E9B">
              <w:rPr>
                <w:sz w:val="20"/>
                <w:szCs w:val="20"/>
              </w:rPr>
              <w:t>ú</w:t>
            </w:r>
            <w:r>
              <w:rPr>
                <w:sz w:val="20"/>
                <w:szCs w:val="20"/>
              </w:rPr>
              <w:t>hlem, jakou rychlosti a jak přiblížit/oddálit hořák při svařování.</w:t>
            </w:r>
          </w:p>
        </w:tc>
      </w:tr>
      <w:tr w:rsidR="001516F8" w14:paraId="4B677159" w14:textId="77777777" w:rsidTr="001516F8">
        <w:trPr>
          <w:trHeight w:val="285"/>
        </w:trPr>
        <w:tc>
          <w:tcPr>
            <w:tcW w:w="9057" w:type="dxa"/>
            <w:vAlign w:val="center"/>
          </w:tcPr>
          <w:p w14:paraId="68711B7E" w14:textId="77777777" w:rsidR="001516F8" w:rsidRDefault="001516F8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Systém musí umožnit definovat konkrétního svářeče a uchovávat jeho provedené svary, svařovací parametry a postupy svařování.</w:t>
            </w:r>
          </w:p>
          <w:p w14:paraId="353AB001" w14:textId="34BD1996" w:rsidR="001516F8" w:rsidRPr="00694FD1" w:rsidRDefault="001516F8" w:rsidP="00694FD1">
            <w:pPr>
              <w:pStyle w:val="Odstavecseseznamem"/>
              <w:widowControl w:val="0"/>
              <w:numPr>
                <w:ilvl w:val="0"/>
                <w:numId w:val="1"/>
              </w:num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požadováno vracet se již k dříve provedeným svarům a sledovat pokroky ve výuce jednotlivých žáků a studentů.</w:t>
            </w:r>
          </w:p>
        </w:tc>
      </w:tr>
      <w:tr w:rsidR="001516F8" w14:paraId="7CDC347F" w14:textId="77777777" w:rsidTr="001516F8">
        <w:trPr>
          <w:trHeight w:val="285"/>
        </w:trPr>
        <w:tc>
          <w:tcPr>
            <w:tcW w:w="9057" w:type="dxa"/>
            <w:vAlign w:val="center"/>
          </w:tcPr>
          <w:p w14:paraId="42BAD6D8" w14:textId="77777777" w:rsidR="001516F8" w:rsidRDefault="001516F8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Přenosné provedení systému.</w:t>
            </w:r>
          </w:p>
          <w:p w14:paraId="5A743BBF" w14:textId="40656DA1" w:rsidR="001516F8" w:rsidRPr="000218FF" w:rsidRDefault="001516F8" w:rsidP="000218FF">
            <w:pPr>
              <w:pStyle w:val="Odstavecseseznamem"/>
              <w:widowControl w:val="0"/>
              <w:numPr>
                <w:ilvl w:val="0"/>
                <w:numId w:val="1"/>
              </w:num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Systém musí být možno zabalit do automobilu a převést na ukázky na jiné pracoviště a školy.</w:t>
            </w:r>
          </w:p>
        </w:tc>
      </w:tr>
      <w:tr w:rsidR="001516F8" w14:paraId="5838CF63" w14:textId="77777777" w:rsidTr="001516F8">
        <w:trPr>
          <w:trHeight w:val="285"/>
        </w:trPr>
        <w:tc>
          <w:tcPr>
            <w:tcW w:w="9057" w:type="dxa"/>
            <w:tcBorders>
              <w:bottom w:val="single" w:sz="4" w:space="0" w:color="000000"/>
            </w:tcBorders>
            <w:vAlign w:val="center"/>
          </w:tcPr>
          <w:p w14:paraId="159E6688" w14:textId="4F5EFB6E" w:rsidR="001516F8" w:rsidRDefault="001516F8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Brýle pro virtuální </w:t>
            </w:r>
            <w:r w:rsidRPr="00E644C1">
              <w:rPr>
                <w:sz w:val="20"/>
                <w:szCs w:val="20"/>
              </w:rPr>
              <w:t>realitu 2ks</w:t>
            </w:r>
            <w:r w:rsidR="00C12EAA">
              <w:rPr>
                <w:sz w:val="20"/>
                <w:szCs w:val="20"/>
              </w:rPr>
              <w:t xml:space="preserve"> s možnosti jejich čistění.</w:t>
            </w:r>
          </w:p>
          <w:p w14:paraId="26D6D99C" w14:textId="2A7FC3C1" w:rsidR="001516F8" w:rsidRPr="00694FD1" w:rsidRDefault="001516F8" w:rsidP="00694FD1">
            <w:pPr>
              <w:pStyle w:val="Odstavecseseznamem"/>
              <w:widowControl w:val="0"/>
              <w:numPr>
                <w:ilvl w:val="0"/>
                <w:numId w:val="1"/>
              </w:num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 hygienických a epidemiologických důvodu je nutno, aby v rámci ukázek se jedny brýle používaly a druhé brýle byly </w:t>
            </w:r>
            <w:r w:rsidR="00C12EAA">
              <w:rPr>
                <w:sz w:val="20"/>
                <w:szCs w:val="20"/>
              </w:rPr>
              <w:t xml:space="preserve">čištěny a </w:t>
            </w:r>
            <w:r>
              <w:rPr>
                <w:sz w:val="20"/>
                <w:szCs w:val="20"/>
              </w:rPr>
              <w:t>podrobovány desinfekci buď UV světlem, nebo desinfekčními prostředky. Každý student vždy začne svařovat s</w:t>
            </w:r>
            <w:r w:rsidR="00C12EAA">
              <w:rPr>
                <w:sz w:val="20"/>
                <w:szCs w:val="20"/>
              </w:rPr>
              <w:t xml:space="preserve"> čistými </w:t>
            </w:r>
            <w:r>
              <w:rPr>
                <w:sz w:val="20"/>
                <w:szCs w:val="20"/>
              </w:rPr>
              <w:t>vydesinfikováními brýlemi.</w:t>
            </w:r>
          </w:p>
        </w:tc>
      </w:tr>
      <w:tr w:rsidR="001516F8" w14:paraId="6635129A" w14:textId="77777777" w:rsidTr="001516F8">
        <w:trPr>
          <w:trHeight w:val="285"/>
        </w:trPr>
        <w:tc>
          <w:tcPr>
            <w:tcW w:w="9057" w:type="dxa"/>
            <w:tcBorders>
              <w:top w:val="single" w:sz="4" w:space="0" w:color="000000"/>
              <w:bottom w:val="single" w:sz="12" w:space="0" w:color="auto"/>
            </w:tcBorders>
            <w:vAlign w:val="center"/>
          </w:tcPr>
          <w:p w14:paraId="41DDC147" w14:textId="77777777" w:rsidR="001516F8" w:rsidRDefault="001516F8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Možnost připojit dataprojektor.</w:t>
            </w:r>
          </w:p>
          <w:p w14:paraId="4A2C6909" w14:textId="19EBF747" w:rsidR="001516F8" w:rsidRPr="000218FF" w:rsidRDefault="001516F8" w:rsidP="000218FF">
            <w:pPr>
              <w:pStyle w:val="Odstavecseseznamem"/>
              <w:widowControl w:val="0"/>
              <w:numPr>
                <w:ilvl w:val="0"/>
                <w:numId w:val="1"/>
              </w:num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 co vidí student v brýlích pro VR, bude projektorem promítáno pro širší skupinu studentů.</w:t>
            </w:r>
          </w:p>
        </w:tc>
      </w:tr>
    </w:tbl>
    <w:p w14:paraId="2070AB84" w14:textId="7948559E" w:rsidR="00665E8B" w:rsidRDefault="00665E8B" w:rsidP="00CD20BC">
      <w:pPr>
        <w:rPr>
          <w:sz w:val="21"/>
          <w:szCs w:val="21"/>
        </w:rPr>
      </w:pPr>
    </w:p>
    <w:sectPr w:rsidR="00665E8B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63F76"/>
    <w:multiLevelType w:val="hybridMultilevel"/>
    <w:tmpl w:val="632E45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E8B"/>
    <w:rsid w:val="000218FF"/>
    <w:rsid w:val="000D5FEF"/>
    <w:rsid w:val="001516F8"/>
    <w:rsid w:val="00187F01"/>
    <w:rsid w:val="001A6E44"/>
    <w:rsid w:val="00205607"/>
    <w:rsid w:val="00276BC9"/>
    <w:rsid w:val="00290785"/>
    <w:rsid w:val="00331856"/>
    <w:rsid w:val="00367684"/>
    <w:rsid w:val="0044148B"/>
    <w:rsid w:val="004C43B0"/>
    <w:rsid w:val="005F61B9"/>
    <w:rsid w:val="006464C0"/>
    <w:rsid w:val="00657C48"/>
    <w:rsid w:val="00665E8B"/>
    <w:rsid w:val="00694FD1"/>
    <w:rsid w:val="006C0773"/>
    <w:rsid w:val="00713AF9"/>
    <w:rsid w:val="00733052"/>
    <w:rsid w:val="009313F3"/>
    <w:rsid w:val="009B01BA"/>
    <w:rsid w:val="00A95571"/>
    <w:rsid w:val="00AC4786"/>
    <w:rsid w:val="00AE3B27"/>
    <w:rsid w:val="00AF78BD"/>
    <w:rsid w:val="00BC2741"/>
    <w:rsid w:val="00BD0E9B"/>
    <w:rsid w:val="00C12EAA"/>
    <w:rsid w:val="00C36FBF"/>
    <w:rsid w:val="00CD20BC"/>
    <w:rsid w:val="00DC103D"/>
    <w:rsid w:val="00E644C1"/>
    <w:rsid w:val="00E77F43"/>
    <w:rsid w:val="00EA013E"/>
    <w:rsid w:val="00F96E05"/>
    <w:rsid w:val="00FE1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71597"/>
  <w15:docId w15:val="{3F804211-84AE-4D30-8CC1-5DA067540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719DA"/>
    <w:pPr>
      <w:spacing w:after="160" w:line="259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Internetovodkaz">
    <w:name w:val="Internetový odkaz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35"/>
    <w:unhideWhenUsed/>
    <w:qFormat/>
    <w:rsid w:val="002A6B98"/>
    <w:pPr>
      <w:spacing w:after="200" w:line="240" w:lineRule="auto"/>
    </w:pPr>
    <w:rPr>
      <w:rFonts w:ascii="Calibri" w:eastAsia="Calibri" w:hAnsi="Calibri" w:cs="Calibri"/>
      <w:i/>
      <w:iCs/>
      <w:color w:val="44546A" w:themeColor="text2"/>
      <w:sz w:val="18"/>
      <w:szCs w:val="18"/>
      <w:lang w:eastAsia="cs-CZ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xl24">
    <w:name w:val="xl24"/>
    <w:basedOn w:val="Normln"/>
    <w:qFormat/>
    <w:rsid w:val="00D719D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Arial" w:eastAsia="Arial Unicode MS" w:hAnsi="Arial" w:cs="Arial"/>
      <w:lang w:eastAsia="cs-CZ"/>
    </w:rPr>
  </w:style>
  <w:style w:type="paragraph" w:styleId="Normlnweb">
    <w:name w:val="Normal (Web)"/>
    <w:basedOn w:val="Normln"/>
    <w:uiPriority w:val="99"/>
    <w:unhideWhenUsed/>
    <w:qFormat/>
    <w:rsid w:val="00F83B5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1115B0"/>
    <w:pPr>
      <w:ind w:left="720"/>
      <w:contextualSpacing/>
    </w:pPr>
  </w:style>
  <w:style w:type="paragraph" w:customStyle="1" w:styleId="Default">
    <w:name w:val="Default"/>
    <w:qFormat/>
    <w:rsid w:val="00023276"/>
    <w:rPr>
      <w:rFonts w:ascii="Calibri" w:eastAsia="Calibri" w:hAnsi="Calibri" w:cs="Calibri"/>
      <w:color w:val="000000"/>
      <w:sz w:val="24"/>
      <w:szCs w:val="24"/>
    </w:rPr>
  </w:style>
  <w:style w:type="table" w:styleId="Mkatabulky">
    <w:name w:val="Table Grid"/>
    <w:basedOn w:val="Normlntabulka"/>
    <w:uiPriority w:val="39"/>
    <w:rsid w:val="008255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3B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3B27"/>
    <w:rPr>
      <w:rFonts w:ascii="Segoe UI" w:hAnsi="Segoe UI" w:cs="Segoe UI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3B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3B27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semiHidden/>
    <w:unhideWhenUsed/>
    <w:rsid w:val="005F61B9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33185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64A9DA-368F-447B-BA09-276C526A4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830</Words>
  <Characters>4899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</dc:creator>
  <dc:description/>
  <cp:lastModifiedBy>Radim Trojan</cp:lastModifiedBy>
  <cp:revision>7</cp:revision>
  <cp:lastPrinted>2021-05-11T06:54:00Z</cp:lastPrinted>
  <dcterms:created xsi:type="dcterms:W3CDTF">2021-08-24T12:03:00Z</dcterms:created>
  <dcterms:modified xsi:type="dcterms:W3CDTF">2021-09-02T08:09:00Z</dcterms:modified>
  <dc:language>cs-CZ</dc:language>
</cp:coreProperties>
</file>